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西昌川投大健康科技有限公司</w:t>
      </w:r>
    </w:p>
    <w:p>
      <w:pPr>
        <w:jc w:val="center"/>
        <w:outlineLvl w:val="0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  <w:lang w:eastAsia="zh-CN"/>
        </w:rPr>
        <w:t>川投西昌医院打印耗材采购项目</w:t>
      </w:r>
    </w:p>
    <w:p>
      <w:pPr>
        <w:jc w:val="center"/>
        <w:outlineLvl w:val="0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比选公告</w:t>
      </w:r>
    </w:p>
    <w:p>
      <w:pPr>
        <w:spacing w:line="360" w:lineRule="auto"/>
        <w:rPr>
          <w:rFonts w:hint="eastAsia" w:ascii="宋体" w:hAnsi="宋体" w:eastAsia="宋体" w:cs="宋体"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 xml:space="preserve">一、基本情况  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 xml:space="preserve">人（合同中简称“甲方”）为西昌川投大健康科技有限公司，公司于 2017年6月在四川省凉山州西昌市注册成立，注册资本人民币62087.71万元。公司经营范围为医疗投资、酒店投资、健康养生产业投资；医疗技术开发、房地产开发、旅游开发及旅游产品销售；健康养生咨询服务；健康管理服务；医院、酒店管理服务等。 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根据工作安排，拟通过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方式选择和确定“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川投西昌医院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打印耗材采购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”的中选人，诚邀具备资格的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响应人（以下简称：响应人，合同中简称“乙方”）参与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资金来源：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</w:rPr>
        <w:t>单位自筹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三、采购项目简介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本次采购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为川投西昌医院打印耗材采购项目，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确保打印耗材满足医院使用需求，保障日常业务开展，同时开展医院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现有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打印机的维保服务。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工作要求详见采购文件第五部分：技术规范书。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比选价格要求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zh-CN"/>
        </w:rPr>
        <w:t>本项目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/>
        </w:rPr>
        <w:t>报价采用固定单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价包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/>
        </w:rPr>
        <w:t>干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，含税最高限价暂定总价776300元，</w:t>
      </w:r>
      <w:r>
        <w:rPr>
          <w:rFonts w:hint="default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具体详见第六部分报价表</w:t>
      </w:r>
      <w:r>
        <w:rPr>
          <w:rFonts w:hint="eastAsia" w:ascii="Times New Roman" w:hAnsi="Times New Roman" w:eastAsia="宋体" w:cs="Times New Roman"/>
          <w:color w:val="auto"/>
          <w:kern w:val="2"/>
          <w:sz w:val="28"/>
          <w:szCs w:val="28"/>
          <w:highlight w:val="none"/>
          <w:lang w:val="en-US"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w w:val="100"/>
          <w:kern w:val="2"/>
          <w:sz w:val="28"/>
          <w:szCs w:val="28"/>
          <w:highlight w:val="none"/>
          <w:lang w:val="en-US" w:eastAsia="zh-CN"/>
        </w:rPr>
        <w:t>报价超过</w:t>
      </w:r>
      <w:r>
        <w:rPr>
          <w:rFonts w:hint="default"/>
          <w:sz w:val="28"/>
          <w:szCs w:val="28"/>
          <w:lang w:val="en-US" w:eastAsia="zh-CN"/>
        </w:rPr>
        <w:t>含税</w:t>
      </w:r>
      <w:r>
        <w:rPr>
          <w:rFonts w:hint="default" w:ascii="Times New Roman" w:hAnsi="Times New Roman" w:eastAsia="宋体" w:cs="Times New Roman"/>
          <w:color w:val="auto"/>
          <w:w w:val="100"/>
          <w:kern w:val="2"/>
          <w:sz w:val="28"/>
          <w:szCs w:val="28"/>
          <w:highlight w:val="none"/>
          <w:lang w:val="en-US" w:eastAsia="zh-CN"/>
        </w:rPr>
        <w:t>单项报价限价</w:t>
      </w:r>
      <w:r>
        <w:rPr>
          <w:rFonts w:hint="default"/>
          <w:sz w:val="28"/>
          <w:szCs w:val="28"/>
          <w:lang w:val="en-US" w:eastAsia="zh-CN"/>
        </w:rPr>
        <w:t>或含税总价</w:t>
      </w:r>
      <w:r>
        <w:rPr>
          <w:rFonts w:hint="default" w:ascii="Times New Roman" w:hAnsi="Times New Roman" w:eastAsia="宋体" w:cs="Times New Roman"/>
          <w:color w:val="auto"/>
          <w:w w:val="100"/>
          <w:kern w:val="2"/>
          <w:sz w:val="28"/>
          <w:szCs w:val="28"/>
          <w:highlight w:val="none"/>
          <w:lang w:val="en-US" w:eastAsia="zh-CN"/>
        </w:rPr>
        <w:t>的为无效报价。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五、合同期限</w:t>
      </w:r>
    </w:p>
    <w:p>
      <w:pPr>
        <w:pStyle w:val="2"/>
        <w:ind w:firstLine="56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本次川投西昌医院打印耗材采购项目合同期限暂定2年。在合同期限届满前30天，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采购人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根据合同履约评价情况，就是否续签合同及具体条款（包括费用、工作内容等条款）进行协商，并签订下一年度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的合同。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六、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响应人资格要求</w:t>
      </w:r>
    </w:p>
    <w:p>
      <w:pPr>
        <w:numPr>
          <w:ilvl w:val="0"/>
          <w:numId w:val="0"/>
        </w:numPr>
        <w:spacing w:line="360" w:lineRule="auto"/>
        <w:ind w:left="559" w:leftChars="266" w:firstLine="0" w:firstLineChars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具有独立承担民事责任的能力；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具有良好的商业信誉和健全的财务会计制度；</w:t>
      </w:r>
    </w:p>
    <w:p>
      <w:pPr>
        <w:numPr>
          <w:ilvl w:val="0"/>
          <w:numId w:val="0"/>
        </w:numPr>
        <w:spacing w:line="360" w:lineRule="auto"/>
        <w:ind w:left="559" w:leftChars="266" w:firstLine="0" w:firstLineChars="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具有履行合同所必须的设备和专业技术能力；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br w:type="textWrapping"/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具有依法缴纳税收和社会保障资金的良好记录；</w:t>
      </w:r>
    </w:p>
    <w:p>
      <w:pPr>
        <w:numPr>
          <w:ilvl w:val="0"/>
          <w:numId w:val="0"/>
        </w:numPr>
        <w:spacing w:line="360" w:lineRule="auto"/>
        <w:ind w:left="0" w:leftChars="0" w:firstLine="560" w:firstLineChars="200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参加本次采购活动前三年内，在经营活动中没有重大违法记录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（提供信用中国截图）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；</w:t>
      </w:r>
    </w:p>
    <w:p>
      <w:pPr>
        <w:numPr>
          <w:ilvl w:val="0"/>
          <w:numId w:val="0"/>
        </w:numPr>
        <w:spacing w:line="360" w:lineRule="auto"/>
        <w:ind w:left="0" w:firstLine="560" w:firstLineChars="200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符合法律、行政法规规定的其他条件；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7.</w:t>
      </w:r>
      <w:r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拥有良好的售后服务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响应人提供自20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年1月1日以来的类似项目业绩不少于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个，类似项目业绩是指响应人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已完成或正在实施的医院或其他企事业单位的打印耗材销售的业绩。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需提供合同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封面、反映工作内容及签章页的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复印件或扫描件作为证明材料，加盖响应人公章）。</w:t>
      </w:r>
    </w:p>
    <w:p>
      <w:pPr>
        <w:spacing w:line="360" w:lineRule="auto"/>
        <w:ind w:left="551" w:hanging="551" w:hangingChars="196"/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</w:rPr>
        <w:t>七、其它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响应人在获取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文件时须提供下列有效证明文件的扫描件，发送至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12551984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@qq.com。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经办人介绍信或法定代表人授权委托书加盖公章。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经办人及法人身份证复印件加盖公章。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若提供的资格证明文件不全或不实，将导致其资格被取消。</w:t>
      </w:r>
    </w:p>
    <w:p>
      <w:pPr>
        <w:numPr>
          <w:ilvl w:val="0"/>
          <w:numId w:val="0"/>
        </w:numPr>
        <w:ind w:firstLine="562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文件获取方式：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响应人提供了全套资格证明文件后，及时联系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比选人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，通过邮件方式获取询价文件。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 xml:space="preserve">      联系人：杨老师      联系电话：13981545301</w:t>
      </w:r>
    </w:p>
    <w:p>
      <w:pPr>
        <w:ind w:firstLine="562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文件获取时间：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19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—2024年4月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日，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上午9:00-12：00时，下午14：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0－17:00时，未在规定的时间获取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文件的响应人将被拒绝参加本次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比选项目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递交响应文件截止时间：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202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highlight w:val="none"/>
          <w:lang w:val="en-US" w:eastAsia="zh-CN"/>
        </w:rPr>
        <w:t>24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日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上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午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: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0（北京时间）。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递交响应文件地点：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响应文件必须在递交响应文件截止时间前送达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人地点。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比选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地点：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四川省凉山州西昌市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朝阳东路1号川投西昌医院5楼会议室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。</w:t>
      </w:r>
    </w:p>
    <w:p>
      <w:pPr>
        <w:ind w:firstLine="562" w:firstLineChars="20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发布公告媒介：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四川省投资集团有限责任公司（https://www.invest.com.cn/）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西昌川投大健康科技有限公司外网（http://www.ctghtc.cn/）</w:t>
      </w:r>
    </w:p>
    <w:p>
      <w:pPr>
        <w:ind w:firstLine="560" w:firstLineChars="200"/>
        <w:jc w:val="left"/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中国招标投标公告服务平台（http://www.cebpubservice.com/）</w:t>
      </w:r>
    </w:p>
    <w:p>
      <w:pPr>
        <w:spacing w:line="580" w:lineRule="exact"/>
        <w:ind w:left="559" w:leftChars="266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川投西昌医院官网（http://www.ctxcyy.cn）</w:t>
      </w:r>
    </w:p>
    <w:p>
      <w:pPr>
        <w:spacing w:line="58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天府阳光采购平台（https://scig.tfygcgfw.com/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jc w:val="left"/>
        <w:textAlignment w:val="auto"/>
        <w:rPr>
          <w:rFonts w:hint="eastAsia" w:ascii="宋体" w:hAnsi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111F95"/>
    <w:multiLevelType w:val="singleLevel"/>
    <w:tmpl w:val="98111F9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A2F26"/>
    <w:rsid w:val="2DC15CE0"/>
    <w:rsid w:val="47765CC9"/>
    <w:rsid w:val="523C2F74"/>
    <w:rsid w:val="77C513B8"/>
    <w:rsid w:val="7BED7F77"/>
    <w:rsid w:val="7CDA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szCs w:val="24"/>
    </w:rPr>
  </w:style>
  <w:style w:type="paragraph" w:styleId="3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</w:rPr>
  </w:style>
  <w:style w:type="paragraph" w:styleId="5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paragraph" w:customStyle="1" w:styleId="8">
    <w:name w:val="Body text|1"/>
    <w:basedOn w:val="1"/>
    <w:qFormat/>
    <w:uiPriority w:val="0"/>
    <w:pPr>
      <w:spacing w:line="480" w:lineRule="auto"/>
      <w:ind w:firstLine="400"/>
      <w:jc w:val="left"/>
    </w:pPr>
    <w:rPr>
      <w:rFonts w:ascii="宋体" w:hAnsi="宋体" w:eastAsia="宋体" w:cs="宋体"/>
      <w:kern w:val="0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2023-12-20T08:27:00Z</dcterms:created>
  <dc:creator>A</dc:creator>
  <cp:lastModifiedBy>杨君</cp:lastModifiedBy>
  <dcterms:modified xsi:type="dcterms:W3CDTF">2024-04-18T08:32:54Z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